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EB77BF" w:rsidRDefault="00EB77BF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B77BF">
        <w:rPr>
          <w:rFonts w:ascii="Times New Roman" w:hAnsi="Times New Roman"/>
          <w:b/>
          <w:sz w:val="28"/>
          <w:szCs w:val="20"/>
        </w:rPr>
        <w:t xml:space="preserve">23 августа </w:t>
      </w:r>
      <w:r w:rsidR="00E4222A" w:rsidRPr="00EB77BF">
        <w:rPr>
          <w:rFonts w:ascii="Times New Roman" w:hAnsi="Times New Roman"/>
          <w:b/>
          <w:sz w:val="28"/>
          <w:szCs w:val="20"/>
        </w:rPr>
        <w:t>201</w:t>
      </w:r>
      <w:r w:rsidR="000F4545" w:rsidRPr="00EB77BF">
        <w:rPr>
          <w:rFonts w:ascii="Times New Roman" w:hAnsi="Times New Roman"/>
          <w:b/>
          <w:sz w:val="28"/>
          <w:szCs w:val="20"/>
        </w:rPr>
        <w:t>9</w:t>
      </w:r>
      <w:r w:rsidR="0075668A" w:rsidRPr="00EB77BF">
        <w:rPr>
          <w:rFonts w:ascii="Times New Roman" w:hAnsi="Times New Roman"/>
          <w:b/>
          <w:sz w:val="28"/>
          <w:szCs w:val="20"/>
        </w:rPr>
        <w:t xml:space="preserve"> года</w:t>
      </w:r>
    </w:p>
    <w:p w:rsidR="00CE2254" w:rsidRPr="00EB77BF" w:rsidRDefault="00CE2254" w:rsidP="00CE22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D928DF" w:rsidRPr="00EB77BF" w:rsidRDefault="0075668A" w:rsidP="00EB77B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 проведении публичных консультаций при проведении</w:t>
      </w:r>
    </w:p>
    <w:p w:rsidR="00DD3EFA" w:rsidRPr="00EB77BF" w:rsidRDefault="0075668A" w:rsidP="00EB77BF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оценки регулирующего воздействия</w:t>
      </w:r>
      <w:r w:rsidR="00D928DF" w:rsidRPr="00EB77BF">
        <w:rPr>
          <w:rFonts w:ascii="Times New Roman" w:hAnsi="Times New Roman"/>
          <w:b/>
          <w:sz w:val="28"/>
          <w:szCs w:val="24"/>
        </w:rPr>
        <w:t xml:space="preserve"> </w:t>
      </w:r>
      <w:r w:rsidR="00CC27A9" w:rsidRPr="00EB77BF">
        <w:rPr>
          <w:rFonts w:ascii="Times New Roman" w:hAnsi="Times New Roman"/>
          <w:b/>
          <w:sz w:val="28"/>
          <w:szCs w:val="24"/>
        </w:rPr>
        <w:t xml:space="preserve">на </w:t>
      </w:r>
      <w:r w:rsidR="002C04A4" w:rsidRPr="00EB77BF">
        <w:rPr>
          <w:rFonts w:ascii="Times New Roman" w:eastAsiaTheme="minorHAnsi" w:hAnsi="Times New Roman"/>
          <w:b/>
          <w:sz w:val="28"/>
          <w:szCs w:val="24"/>
        </w:rPr>
        <w:t>проект закона Забайкал</w:t>
      </w:r>
      <w:r w:rsidR="002C04A4" w:rsidRPr="00EB77BF">
        <w:rPr>
          <w:rFonts w:ascii="Times New Roman" w:eastAsiaTheme="minorHAnsi" w:hAnsi="Times New Roman"/>
          <w:b/>
          <w:sz w:val="28"/>
          <w:szCs w:val="24"/>
        </w:rPr>
        <w:t>ь</w:t>
      </w:r>
      <w:r w:rsidR="002C04A4" w:rsidRPr="00EB77BF">
        <w:rPr>
          <w:rFonts w:ascii="Times New Roman" w:eastAsiaTheme="minorHAnsi" w:hAnsi="Times New Roman"/>
          <w:b/>
          <w:sz w:val="28"/>
          <w:szCs w:val="24"/>
        </w:rPr>
        <w:t>ского края «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 xml:space="preserve">О внесении изменений в </w:t>
      </w:r>
      <w:r w:rsidR="00EB77BF" w:rsidRPr="00EB77BF">
        <w:rPr>
          <w:rFonts w:ascii="Times New Roman" w:hAnsi="Times New Roman"/>
          <w:b/>
          <w:sz w:val="28"/>
          <w:szCs w:val="24"/>
        </w:rPr>
        <w:t>Закон Забайкальского края «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Об о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р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ганизации деятельности пунктов приема и отгрузки древесины на те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р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ритории Забайкальского края</w:t>
      </w:r>
      <w:r w:rsidR="00EB77BF" w:rsidRPr="00EB77BF">
        <w:rPr>
          <w:rFonts w:ascii="Times New Roman" w:hAnsi="Times New Roman"/>
          <w:b/>
          <w:sz w:val="28"/>
          <w:szCs w:val="24"/>
        </w:rPr>
        <w:t>» и Закон Забайкальского края «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О реал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и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зации на территории Забайкальского края отдельных положений Лесн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о</w:t>
      </w:r>
      <w:r w:rsidR="00EB77BF" w:rsidRPr="00EB77BF">
        <w:rPr>
          <w:rFonts w:ascii="Times New Roman" w:hAnsi="Times New Roman"/>
          <w:b/>
          <w:bCs/>
          <w:sz w:val="28"/>
          <w:szCs w:val="24"/>
        </w:rPr>
        <w:t>го кодекса Российской Федерации»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16"/>
        <w:gridCol w:w="3494"/>
        <w:gridCol w:w="7189"/>
      </w:tblGrid>
      <w:tr w:rsidR="0075668A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замечаний и предложений</w:t>
            </w:r>
          </w:p>
        </w:tc>
      </w:tr>
      <w:tr w:rsidR="0075668A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0510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ние Общероссийской общественной организации м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а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а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тельства «ОПОРА РОССИИ»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AC" w:rsidRPr="00EB77BF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  <w:p w:rsidR="0075668A" w:rsidRPr="00EB77BF" w:rsidRDefault="0075668A" w:rsidP="00535D9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75668A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4A5462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5668A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общественной орг</w:t>
            </w: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низации «Д</w:t>
            </w: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ловая Россия»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EB77BF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870DF2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EB77BF" w:rsidRDefault="004A546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70DF2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2AF" w:rsidRPr="00EB77BF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Некоммерческое партнерство</w:t>
            </w:r>
          </w:p>
          <w:p w:rsidR="00870DF2" w:rsidRPr="00EB77BF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 xml:space="preserve"> «Забайкальский союз пре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д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приним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а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телей»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EB77BF" w:rsidRDefault="00870DF2" w:rsidP="00535D93">
            <w:pPr>
              <w:jc w:val="center"/>
              <w:rPr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0DF2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EB77BF" w:rsidRDefault="004A5462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70DF2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EB77BF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Забайкальская краевая общ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ственная организация «В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ы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пускники Президентской пр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о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граммы»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EB77BF" w:rsidRDefault="00870DF2" w:rsidP="00535D93">
            <w:pPr>
              <w:jc w:val="center"/>
              <w:rPr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4A546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B0510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A14" w:rsidRDefault="006B0510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Уполномоченный по защите прав предпринимателей в З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а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байкальском крае и его раб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о</w:t>
            </w:r>
            <w:r w:rsidRPr="00EB77BF">
              <w:rPr>
                <w:rFonts w:ascii="Times New Roman" w:hAnsi="Times New Roman"/>
                <w:sz w:val="24"/>
                <w:szCs w:val="24"/>
              </w:rPr>
              <w:t>чий аппарат</w:t>
            </w:r>
            <w:r w:rsidR="00C34A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4A14" w:rsidRDefault="00C34A14" w:rsidP="00535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«Синта-Кедр»</w:t>
            </w:r>
          </w:p>
          <w:p w:rsidR="00C34A14" w:rsidRPr="00EB77BF" w:rsidRDefault="00C34A14" w:rsidP="00535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Default="00875C04" w:rsidP="00875C04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 является актуальной. </w:t>
            </w:r>
          </w:p>
          <w:p w:rsidR="00875C04" w:rsidRPr="00875C04" w:rsidRDefault="00875C04" w:rsidP="00875C04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04">
              <w:rPr>
                <w:rFonts w:ascii="Times New Roman" w:hAnsi="Times New Roman"/>
                <w:sz w:val="24"/>
                <w:szCs w:val="24"/>
              </w:rPr>
              <w:t>Существуют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иные способы решения пробл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75C04" w:rsidRPr="00875C04" w:rsidRDefault="00875C04" w:rsidP="00875C04">
            <w:pPr>
              <w:pStyle w:val="a6"/>
              <w:numPr>
                <w:ilvl w:val="0"/>
                <w:numId w:val="15"/>
              </w:numPr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04">
              <w:rPr>
                <w:rFonts w:ascii="Times New Roman" w:hAnsi="Times New Roman"/>
                <w:sz w:val="24"/>
                <w:szCs w:val="24"/>
              </w:rPr>
              <w:t>создание правовой основы для осуществления региональн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 xml:space="preserve">го государственного </w:t>
            </w:r>
            <w:proofErr w:type="gramStart"/>
            <w:r w:rsidRPr="00875C0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75C04">
              <w:rPr>
                <w:rFonts w:ascii="Times New Roman" w:hAnsi="Times New Roman"/>
                <w:sz w:val="24"/>
                <w:szCs w:val="24"/>
              </w:rPr>
              <w:t xml:space="preserve"> деятельностью пунктов приема и отгрузки древесины в соответствии с требовани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я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ми Федерального закона от 26 декабря 2008 года № 294-ФЗ «О защите прав юрид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и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ческих лиц и индивидуальных предпринимателей при осуществл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нии государственного контроля (надзора) и муниципального ко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н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троля»;</w:t>
            </w:r>
          </w:p>
          <w:p w:rsidR="00875C04" w:rsidRPr="00875C04" w:rsidRDefault="00875C04" w:rsidP="00875C04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04">
              <w:rPr>
                <w:rFonts w:ascii="Times New Roman" w:hAnsi="Times New Roman"/>
                <w:sz w:val="24"/>
                <w:szCs w:val="24"/>
              </w:rPr>
              <w:t>усиление деятельности правоохранительных органов по предупр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ждению, пресечению и выявлению административных правонар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у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шений и преступлений в сфере оборота древесины;</w:t>
            </w:r>
          </w:p>
          <w:p w:rsidR="00875C04" w:rsidRPr="00875C04" w:rsidRDefault="00875C04" w:rsidP="00875C04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04">
              <w:rPr>
                <w:rFonts w:ascii="Times New Roman" w:hAnsi="Times New Roman"/>
                <w:sz w:val="24"/>
                <w:szCs w:val="24"/>
              </w:rPr>
              <w:t>изменение государственной политики в сфере оборота др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весины.</w:t>
            </w:r>
          </w:p>
          <w:p w:rsidR="00875C04" w:rsidRPr="00875C04" w:rsidRDefault="00875C04" w:rsidP="00875C04">
            <w:pPr>
              <w:pStyle w:val="a6"/>
              <w:numPr>
                <w:ilvl w:val="0"/>
                <w:numId w:val="13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04">
              <w:rPr>
                <w:rFonts w:ascii="Times New Roman" w:hAnsi="Times New Roman"/>
                <w:sz w:val="24"/>
                <w:szCs w:val="24"/>
              </w:rPr>
              <w:t>Издержки предпринимателей на реализацию рассматрива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C04">
              <w:rPr>
                <w:rFonts w:ascii="Times New Roman" w:hAnsi="Times New Roman"/>
                <w:sz w:val="24"/>
                <w:szCs w:val="24"/>
              </w:rPr>
              <w:t xml:space="preserve">мого проекта закона слагаются из следующего: 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ликвидация действующего пункта приема и отгрузки древ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сины (далее – пункт), как несоответствующего требован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ям;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приобретение существующего земельного участка либо де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я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тельность по отводу нового земельного участка под орган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зацию пункта согласно всем требованиям, заключение дог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вора аренды;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строительство капитального забора по периметру пункта;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обеспечение освещения участка пункта и прилегающей те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ритории; 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оплата труда работников, осуществляющих пропускной 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жим пункта, взносы в фонды, спецодежда и иные расходы на 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ы</w:t>
            </w:r>
            <w:r w:rsidRPr="00103551">
              <w:rPr>
                <w:rFonts w:ascii="Times New Roman" w:hAnsi="Times New Roman"/>
                <w:sz w:val="24"/>
                <w:szCs w:val="24"/>
              </w:rPr>
              <w:lastRenderedPageBreak/>
              <w:t>полн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ние трудового законодательства;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приобретение, монтаж, обслуживание и ремонт техники, оборудования, программных сре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я обеспечения </w:t>
            </w:r>
            <w:proofErr w:type="spellStart"/>
            <w:r w:rsidRPr="00103551">
              <w:rPr>
                <w:rFonts w:ascii="Times New Roman" w:hAnsi="Times New Roman"/>
                <w:sz w:val="24"/>
                <w:szCs w:val="24"/>
              </w:rPr>
              <w:t>видеофикс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при въезде на территорию пункта, в соответствующем пом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щении и панорамы территории пункта, а также хранения соотве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ствующей информации в течение шести месяцев;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приобретение, монтаж, обслуживание и ремонт техники, оборудования, программных сре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я обеспечения </w:t>
            </w:r>
            <w:proofErr w:type="spellStart"/>
            <w:r w:rsidRPr="00103551">
              <w:rPr>
                <w:rFonts w:ascii="Times New Roman" w:hAnsi="Times New Roman"/>
                <w:sz w:val="24"/>
                <w:szCs w:val="24"/>
              </w:rPr>
              <w:t>фотофикс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при въезде на территорию пункта (в случае поломки указа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ных выше объектов и средств для </w:t>
            </w:r>
            <w:proofErr w:type="spellStart"/>
            <w:r w:rsidRPr="00103551">
              <w:rPr>
                <w:rFonts w:ascii="Times New Roman" w:hAnsi="Times New Roman"/>
                <w:sz w:val="24"/>
                <w:szCs w:val="24"/>
              </w:rPr>
              <w:t>видеофикс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10355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75C04" w:rsidRPr="00103551" w:rsidRDefault="00875C04" w:rsidP="00103551">
            <w:pPr>
              <w:pStyle w:val="a6"/>
              <w:numPr>
                <w:ilvl w:val="0"/>
                <w:numId w:val="18"/>
              </w:numPr>
              <w:spacing w:before="12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оплата подготовки документов в уполномоченный орган при ввозе лесоматериалов на территорию Забайкальского края;</w:t>
            </w:r>
          </w:p>
          <w:p w:rsidR="00103551" w:rsidRPr="00103551" w:rsidRDefault="00875C04" w:rsidP="0010355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сопутствующие расходы.</w:t>
            </w:r>
          </w:p>
          <w:p w:rsid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Нормой статьи 1 рассматриваемого проекта закона предл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гается ввести дополнительные требования к организации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пунктов приема и отгрузки древесины. Эти требования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новываются необходимостью усиления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стью. Однако, в Перечне видов регионального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контроля (надзора) и исполнительных органов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власти Забайкальского края, уполномоченных на их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утвержденном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министра эконом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развития Забайкальского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И.П.Лизуновой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 июня 2019 года, отсутствует такой вид регионального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контроля (надзора) за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ятельностью пунктов приема и отгрузки древесины. </w:t>
            </w:r>
          </w:p>
          <w:p w:rsid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Министерством природных ресурсов Забайкальского края осуществляется региональный государственный экологический надзор в соответствии с нормами Постановления Правител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ства Забайкальского края от 09 сентября 2014 года № 535 «Об утве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ждении Порядка осуществления регионального госуда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ственного экологического надзора», Приказа Министерства природных 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сурсов З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байкальского края от 19 декабря 2017 года № 52-н/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пр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родных ресурсов Забайкальского края по исполнению госуда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ственной функции «Осуществление регионального государстве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ного экологического надзора». Однако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указанные прав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вые акты не регл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ментируют порядок контроля за деятельностью пунктов. 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Исходя из содержания пункта 3 статьи 2 Федерального з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кона от 26 декабря 2008 года № 294-ФЗ «О защите прав юридич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ских лиц и индивидуальных предпринимателей при осуществлении госуда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ственного контроля (надзора) и муниципального контроля» реги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нальный государственный контроль (надзор) - деятельность орг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органами самостоятельно за счет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средств бюджета субъекта Российской Федерации. 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Порядок организации и осуществления регионального государственного контроля (надз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ра) в соответствующей сфере деятельности (вида регионального государственного контроля (надзора) устанавливается высшим 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полнительным органом государственной власти субъекта Росси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й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ской Федерации с учетом требований к организации и осуществл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нию государственного контроля (надзора) в соответствующей сф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ре деятельности, определенных Президентом Российской Федер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ции или Правительством Российской Федерации.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Сроки и послед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lastRenderedPageBreak/>
              <w:t>вательность административных процедур при осуществлении вида регионального государственного контроля (надзора) устанавлив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ются административным регламентом осуществления регионал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ного государственного контроля (надзора) в соответствующей сф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ре деятельности (вида регионального государственного контроля (надзора). </w:t>
            </w:r>
            <w:proofErr w:type="gramEnd"/>
          </w:p>
          <w:p w:rsidR="00103551" w:rsidRDefault="00103551" w:rsidP="00103551">
            <w:pPr>
              <w:pStyle w:val="a6"/>
              <w:autoSpaceDE w:val="0"/>
              <w:autoSpaceDN w:val="0"/>
              <w:adjustRightInd w:val="0"/>
              <w:ind w:left="0"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рассматриваемом случае отсутствуют все необходимые «атрибуты» контрольной деятельности:</w:t>
            </w:r>
          </w:p>
          <w:p w:rsidR="00103551" w:rsidRDefault="00103551" w:rsidP="00103551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 орган исполнительной власти Забайкальского края, уполномоченных на осуществление государственного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 (надзора) на территории края;</w:t>
            </w:r>
          </w:p>
          <w:p w:rsidR="00103551" w:rsidRDefault="00103551" w:rsidP="00103551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Порядок организации и осуществления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государственного контроля (надзора)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ствующей сфере деятельности (вида регионального государственного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 (надзора), утвержденный Правительством Забайкальск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103551" w:rsidRDefault="00103551" w:rsidP="00103551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отсутствует административный регламент осуществления регионального государственного контроля (надзора)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ствующей сфере деятельности (вида регионального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контроля (надзора), устанавливающий сроки и последов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административных процедур при осуществлении вида регионального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контроля (надзора). </w:t>
            </w:r>
            <w:proofErr w:type="gramEnd"/>
          </w:p>
          <w:p w:rsid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 же время,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пунктов не может осуществляться в рамках регионального государственного экол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гического надзора. Поскольку согласно пункту 3 Порядка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ществления регионального государственного экологического надзора, утвержденного постановлением Правительства Забайкал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края от 09 сентября 2014 года № 535, региональный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ственный экологический надзор на территории Забайкальского края осуществляется уполномоченными исполнительными 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государственной власти Забайкальского края в пределах своей компетенции в рамках: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регионального государственного надзора за геол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гическим изучением, рациональным использованием и охраной недр, реги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нального государственного надзора в области охраны атмосферн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го воздуха, регионального государственного надзора в области 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пользования и охраны водных объектов, госуда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ственного надзора в области охраны и 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регионального значения в порядке, установленном Правительством Забайкальского края о соотве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ствующих видах надзора;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регионального государственного надзора в области обращ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ния с отходами, регионального государственного экологическ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го надзора в области охраны озера Байкал, регионального госуда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ственного надзора за соблюдением требований к обращению с 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ществами, разрушающими озоновый слой, регионального госуда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ственного экологического надзора за сбросом сточных вод через централизованную систему водоотведения, государственного ко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троля (надзора) за соблюдением требований технического регл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мента Таможенного союза «О безопасности маломерных судов», за соблюдением требований технического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регламента Таможенного союза «О требованиях к смазочным материалам, маслам и спец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альным жидкостям» в отношении требований к обращению с отр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ботанной продукцией в порядке, установленном настоящим П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рядком.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связи с указанным считаем, что в настоящее время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 за деятельностью пунктов на территории Забайкальского края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ществляется с нарушением требований федерального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 в связи с отсутствием надлежащего правого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proofErr w:type="gramEnd"/>
          </w:p>
          <w:p w:rsidR="00103551" w:rsidRDefault="00103551" w:rsidP="00103551">
            <w:pPr>
              <w:pStyle w:val="a6"/>
              <w:autoSpaceDE w:val="0"/>
              <w:autoSpaceDN w:val="0"/>
              <w:adjustRightInd w:val="0"/>
              <w:ind w:left="0"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Поэтому введение предусмотренных нормой статьи 1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сматриваемого проекта закона дополнительных требований к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 пунктов является преждевременным, поскольку отсу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ствует правовая база для осуществления соответствующего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троля.</w:t>
            </w:r>
          </w:p>
          <w:p w:rsid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2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Пунктом 1 статьи 1 рассматриваемого проекта закона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лагается существенно изменить понятие пункта. Вводится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о «примыкании» такого пункта к желе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нодорожным путям или населенным пунктам. Указанное изменение обосновывается 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ходимостью усиления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</w:p>
          <w:p w:rsidR="00103551" w:rsidRDefault="00103551" w:rsidP="00103551">
            <w:pPr>
              <w:pStyle w:val="a6"/>
              <w:autoSpaceDE w:val="0"/>
              <w:autoSpaceDN w:val="0"/>
              <w:adjustRightInd w:val="0"/>
              <w:ind w:left="0"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Считаем, что введение указанной нормы не приведет к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стижению заявленных целей, но существенно ограничит права субъектов предпринимательства на организацию таких пунктов, так как применение в тексте нормы слова «примыкающие» делает норму трудно выполнимой (не установлено необходимое 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мальное расстояние от пункта до железнодорожных путей или населенного пункта). При этом термин «примыкание к железнод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рожным путям или населенным пунктам» в дальнейшем тексте проекта закона не раскрывается, что создает условия для его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оправданно широкого толкования в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возникновения коррупционного фактора. Также, организация пункта вблизи населенного пункта может иметь отрицательные экологические последствия.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Также, в проекте закона не содержится указании на то,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кие последствия его принятие будет иметь для уже действующих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тов. Они подлежат ликвидации как несоответствующие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тельству либо смогут продолжить деятельность? Между тем,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занное обстоятельство имеет весьма существенное значение для стабильности ведения бизнеса в регионе и его инвестиционной привлекательности.   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Кроме того, к проекту закона не приложена информация, позволяющая сделать вывод о необходимости введения ук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занного ограничения, в том числе о количестве пунктов, распол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гающихся вдали от железнодорожных путей и населенных пунктов, их пр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центном отношении к общему количеству пунктов, о количестве правонарушений (преступлений), выявленных на указанных пун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к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тах и их процентном отношении к общему количеству правонар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у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шений (преступлений), выявленных на всех пунктах.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сутствие указанной информации делает невозможным оценку предполож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ния о том, что на пунктах, отдаленных от железнод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рожных путей и населенных пунктов, создаются условия для совершения прав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нарушений (преступлений) и их количество бол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ше по сравнению с пунктами, находящимися вблизи указанных объектов. Если же целью введения этих ограничений является облегчение провед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ния контроля со стороны контрольно-надзорного органа, полагаем установление таких требований в корне неверным и нецелесоо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б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разным. Создание искусственных ограничений ведения предпр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нимательской деятельности не вписывается в государственную п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литику по развитию малого и среднего предприним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тельства.   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целом, считаем введение указанного ограничения избыто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ным требованием, необоснованно ограничивающим и ухудша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щим ведение предпринимательской деятельности, поэтому указа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ную норму из текста рассматриваемого проекта закона предл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гаем исключить.      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Проектируемым пунктом 2 статьи 1 рассматриваемого пр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екта закона предлагается закрепить дополнительные треб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вания, которым должен отвечать пункт для его постановки на учет. Сч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таем, что указанные требования являются избыточными, необосн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ванно ограничивают ведение предпринимательской де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я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тельности, вводят для предпринимателей дополнительные обязанности и вл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кут зн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чительные финансовые вложения, отвлечение денежных средств из экономического оборота. 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Так, к проекту закона не приложена информация о затратах предпринимателей, необходимых для его исполнения, а также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териалы, подтверждающие возможность достижения заявленных целей правового регулирования с введением указанных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 Поскольку не совсем понятно, каким образом введение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занных требований может способствовать снижению количества совершаемых правонарушений (преступлений) в сфере оборота древесины. Без наличия такой информации единственным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нением введения указанного требования может быть желание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ганов государственной власти свои обязанности по обеспечению правопорядка возложить на субъекты предпринимательской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тельности.  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в тексте проектируемой нормы используются термины, содержание которых не раскрыто в тексте закона. Это существенно затрудняет их толкование и последующее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что, неизбежно, влечет возникновение коррупционного фактора и возможное массовое нарушение прав 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принимательской деятельности. В том числе не раскрыты термины: «капитальный забор», «прилегающая территория», «установочные данные транспортного средства, водителя», «качественная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деофиксация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«панорамный вид территории», «непрерывность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Также, не установлены требования к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ющим: технике, оборудованию, программному обеспечению, к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держанию вновь вводимых журналов.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Таким образом, считаем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сматирваемую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норму недостаточно проработанной и юридически выверенной.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указанную норму из текста рассма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риваемого проекта закона предлагаем исключить.      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Нормой пункта 3 статьи 1 рассматриваемого проекта з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кона предлагается дополнить текст Закона Забайкальского края Заба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й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кальского края от 01 июля 2009 года № 195-ЗЗК «Об орган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зации деятельности пунктов приема и отгрузки древесины на те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ритории Забайкальского края» новой статьей 3</w:t>
            </w:r>
            <w:r w:rsidRPr="0010355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, устанавливающей 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ввозом на территорию Забайкальского края лесоматериалов. 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д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нако</w:t>
            </w:r>
            <w:proofErr w:type="gramStart"/>
            <w:r w:rsidRPr="0010355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 указанная норма не относится к общественным отношениям, урегулированным указанным законом края. Так, согласно преа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м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буле указанного закона края настоящий Закон края определяет п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рядок организации деятельности пунктов приема и отгрузки древ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сины и устанавливает правила приема и учета древесины на терр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тории Забайкальского края. Таким образом, ук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занный закон не устанавливает правила ввоза древесины на территорию Забайкал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ского края. Это предмет отдельного правового р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гулирования. 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того, считаем, что указанные требования являются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быточными, вводят для предпринимателей дополнительные об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занности. Также считаем введение указанной нормы преждевр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менным по основаниям, указанным в подпункте 1 настоящего пункта заключения. Поскольку согласно части 2 проектируемой статьи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соответствующим органом должна проводиться проверка законности происхождения лесоматериалов. А порядок проведения указанной проверки в установленном порядке не закреплен.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ществление контроля в условиях отсутствия соответствующего правового регулирования приведет к массовому нарушению прав субъектов предпринимательской деятельности, а также усилит коррупционную составляющую контрольной деятельности.   </w:t>
            </w:r>
          </w:p>
          <w:p w:rsidR="00103551" w:rsidRDefault="00103551" w:rsidP="00103551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указанную норму из текста рассма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риваемого проекта закона предлагаем исключить.      </w:t>
            </w:r>
          </w:p>
          <w:p w:rsidR="00103551" w:rsidRPr="00103551" w:rsidRDefault="00103551" w:rsidP="001035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3551">
              <w:rPr>
                <w:rFonts w:ascii="Times New Roman" w:hAnsi="Times New Roman"/>
                <w:sz w:val="24"/>
                <w:szCs w:val="24"/>
              </w:rPr>
              <w:t>Статьей 2 рассматриваемого проекта закона предлагается установить ограничение заготовки гражданами древесины для со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б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ственных нужд в отношении горелого леса. Счит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ем, что указанная норма не соответствует требованиям федерального законодател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 xml:space="preserve">ства и существенно ограничивает права </w:t>
            </w:r>
            <w:proofErr w:type="spellStart"/>
            <w:r w:rsidRPr="00103551">
              <w:rPr>
                <w:rFonts w:ascii="Times New Roman" w:hAnsi="Times New Roman"/>
                <w:sz w:val="24"/>
                <w:szCs w:val="24"/>
              </w:rPr>
              <w:t>лесопользоват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1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  <w:r w:rsidRPr="00103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3551" w:rsidRDefault="00103551" w:rsidP="00C34A14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Так, заготовка древесины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пунктом 1 части 1 статьи 25 Лесного кодекса Российской Федерации от </w:t>
            </w:r>
            <w:r w:rsidR="00C34A14">
              <w:rPr>
                <w:rFonts w:ascii="Times New Roman" w:hAnsi="Times New Roman"/>
                <w:bCs/>
                <w:sz w:val="24"/>
                <w:szCs w:val="24"/>
              </w:rPr>
              <w:t xml:space="preserve">04 декабря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2006 </w:t>
            </w:r>
            <w:r w:rsidR="00C34A14">
              <w:rPr>
                <w:rFonts w:ascii="Times New Roman" w:hAnsi="Times New Roman"/>
                <w:bCs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200-ФЗ (далее – ЛК РФ) является видом использов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леса</w:t>
            </w:r>
            <w:r>
              <w:rPr>
                <w:rFonts w:ascii="Times New Roman" w:hAnsi="Times New Roman"/>
                <w:sz w:val="24"/>
                <w:szCs w:val="24"/>
              </w:rPr>
              <w:t>.  Согласно части 1 статьи 27  ЛК РФ использование лесов может ограничиваться только в случаях и в порядке, которые предусмотрены настоящим Кодексом, другими федеральными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конами. </w:t>
            </w:r>
          </w:p>
          <w:p w:rsidR="00103551" w:rsidRDefault="00103551" w:rsidP="00C34A14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указанного следует, что ограничение использования леса не могут устанавливаться законом субъекта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103551" w:rsidRDefault="00103551" w:rsidP="00C34A14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данном случае запрет заключать договоры на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гражданами древесины для собственных нужд в отношении горелого леса является ничем иным, как ограничением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леса и не может рассматриваться в качестве элемента порядка заготовки гражданами древесины для собственных нужд, наход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щегося в ведении субъектов Российской Федерации в соответствии с пунктом 5 статьи 30 ЛК РФ.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Поскольку введение в правоотнош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по заготовке гражданами древесины для собственных нужд дополнительного субъекта – специализированного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учреждения в данном случае не регулирует порядок заготовки древесины гражданином для собственных нужд, а  предусматрив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 приобретение уже заготовленной древесины гражданами у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циализированного государственного учреждения. </w:t>
            </w:r>
          </w:p>
          <w:p w:rsidR="00103551" w:rsidRDefault="00103551" w:rsidP="00C34A14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того, проектируемая норма абзаца третьего части 10 статьи 1 Закона Забайкальского края «О реализации на территории Забайкальского края отдельных положений Лесного кодекса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Федерации» (далее - Закон края) не согласуется с нормами частей 2, 4, 5, 6, 7, 8, 9 статьи 1, статьи 2 Закона края. С целью 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лизации указанного ограничения необходимо дополнительное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вовое регулирование, закрепляющее порядок взаимодействия гражданина со специализированным государственным учрежден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ем. </w:t>
            </w:r>
          </w:p>
          <w:p w:rsidR="00103551" w:rsidRDefault="00103551" w:rsidP="00C34A14">
            <w:pPr>
              <w:autoSpaceDE w:val="0"/>
              <w:autoSpaceDN w:val="0"/>
              <w:adjustRightInd w:val="0"/>
              <w:ind w:firstLine="5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 из указанного, считаем введение проектируемой но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мы части 10 стати 1 Закона края избыточным правовым регулир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ванием, не согласующимся с федеральным законодательством.   </w:t>
            </w:r>
          </w:p>
          <w:p w:rsidR="00875C04" w:rsidRPr="00875C04" w:rsidRDefault="00103551" w:rsidP="00875C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указанную норму из текста рассматрива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мого проекта закона предлагаем исключить</w:t>
            </w:r>
          </w:p>
        </w:tc>
      </w:tr>
      <w:tr w:rsidR="006B0510" w:rsidRPr="00EB77BF" w:rsidTr="00CF5A13">
        <w:trPr>
          <w:trHeight w:val="37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4A546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  <w:r w:rsidR="00112AC1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EB77BF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«ТСЛК-Ч»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6B0510" w:rsidP="00535D93">
            <w:pPr>
              <w:jc w:val="center"/>
              <w:rPr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4A5462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EB77BF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«Забайкальский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ЛПК»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6B0510" w:rsidP="00535D93">
            <w:pPr>
              <w:jc w:val="center"/>
              <w:rPr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не поступало</w:t>
            </w:r>
          </w:p>
        </w:tc>
      </w:tr>
      <w:tr w:rsidR="006B0510" w:rsidRPr="00EB77BF" w:rsidTr="00EB77B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4A546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6B0510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EB77BF" w:rsidP="00312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EB77BF" w:rsidRDefault="006B0510" w:rsidP="00535D93">
            <w:pPr>
              <w:jc w:val="center"/>
              <w:rPr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67FC7" w:rsidRPr="00EB77BF" w:rsidTr="00EB77BF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FC7" w:rsidRPr="00EB77BF" w:rsidRDefault="004A546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67FC7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FC7" w:rsidRPr="00EB77BF" w:rsidRDefault="004A5462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«</w:t>
            </w:r>
            <w:r w:rsidR="00312B1C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</w:t>
            </w:r>
            <w:r w:rsidR="00312B1C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12B1C"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Забайкальского края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FC7" w:rsidRPr="00EB77BF" w:rsidRDefault="00667FC7" w:rsidP="00DF60C3">
            <w:pPr>
              <w:jc w:val="center"/>
              <w:rPr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312B1C" w:rsidRPr="00EB77BF" w:rsidTr="00EB77BF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B1C" w:rsidRPr="00EB77BF" w:rsidRDefault="004A546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B1C" w:rsidRPr="00EB77BF" w:rsidRDefault="00312B1C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А</w:t>
            </w: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B7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социация инжиниринговых компаний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B1C" w:rsidRPr="00EB77BF" w:rsidRDefault="00312B1C" w:rsidP="00ED4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«Ареал»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«Селена»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«Гермес»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«Данко экспресс»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«Горизонт»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Хушенга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-Древ»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«Универсал ЛТД»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55E" w:rsidRPr="00F046A5" w:rsidRDefault="0079155E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>В случае принятия предлагаемого проекта перехо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д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ный период нужен не менее чем в по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л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875C04" w:rsidRPr="00F046A5" w:rsidRDefault="00E43947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>Проблема является актуальной</w:t>
            </w:r>
          </w:p>
          <w:p w:rsidR="00E43947" w:rsidRPr="00F046A5" w:rsidRDefault="00E43947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>Существуют иные способы решения рассматрива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е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мой про</w:t>
            </w:r>
            <w:r w:rsidR="0079155E" w:rsidRPr="00F046A5">
              <w:rPr>
                <w:rFonts w:ascii="Times New Roman" w:hAnsi="Times New Roman"/>
                <w:sz w:val="24"/>
                <w:szCs w:val="24"/>
              </w:rPr>
              <w:t>блемы, например – з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акрыть приемные пункты у лиц, не имеющих в аренде лесных участков и (или) договоров купли пр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о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дажи лесных насаждений.</w:t>
            </w:r>
          </w:p>
          <w:p w:rsidR="0079155E" w:rsidRPr="00F046A5" w:rsidRDefault="0079155E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 xml:space="preserve">Действие проекта Закона затронет в первую очередь </w:t>
            </w:r>
            <w:proofErr w:type="spellStart"/>
            <w:r w:rsidRPr="00F046A5">
              <w:rPr>
                <w:rFonts w:ascii="Times New Roman" w:hAnsi="Times New Roman"/>
                <w:sz w:val="24"/>
                <w:szCs w:val="24"/>
              </w:rPr>
              <w:t>лесопользователей</w:t>
            </w:r>
            <w:proofErr w:type="spellEnd"/>
            <w:r w:rsidRPr="00F04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046A5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F046A5">
              <w:rPr>
                <w:rFonts w:ascii="Times New Roman" w:hAnsi="Times New Roman"/>
                <w:sz w:val="24"/>
                <w:szCs w:val="24"/>
              </w:rPr>
              <w:t xml:space="preserve"> работают прозрачно, на законных о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нованиях. На незаконную заготовку и переработку древесины предлагаемое регулирование не п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о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влияет.</w:t>
            </w:r>
          </w:p>
          <w:p w:rsidR="0079155E" w:rsidRPr="00F046A5" w:rsidRDefault="0079155E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>Запрет местному населению заготовки дровяной др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е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весины в погибших от лесных пожаров насаждениях противоречит Лесному кодексу, приведет к массовым протестам, оставит мес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т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ных жителей без дров, приведет к озлоблению против власти и протестные настроения  вероятнее всего приведут к массовым поджогам лесов. Решение о заготовке древес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и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ны в погибших от лесных пожаров насаждениях только силами специализированного учреждения приведет к резкому увеличению коррупции в лесном хозя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й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стве.</w:t>
            </w:r>
          </w:p>
          <w:p w:rsidR="0079155E" w:rsidRPr="00F046A5" w:rsidRDefault="0079155E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>Значительные по площади территории нижних скл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а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дов у арендаторов лесных участков потребуют больших затрат по уст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а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 xml:space="preserve">новке капитальных заборов и системы </w:t>
            </w:r>
            <w:proofErr w:type="spellStart"/>
            <w:r w:rsidRPr="00F046A5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F046A5">
              <w:rPr>
                <w:rFonts w:ascii="Times New Roman" w:hAnsi="Times New Roman"/>
                <w:sz w:val="24"/>
                <w:szCs w:val="24"/>
              </w:rPr>
              <w:t>, а также дополн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и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тельную охрану.</w:t>
            </w:r>
          </w:p>
          <w:p w:rsidR="0079155E" w:rsidRPr="00F046A5" w:rsidRDefault="0079155E" w:rsidP="00F046A5">
            <w:pPr>
              <w:pStyle w:val="a6"/>
              <w:numPr>
                <w:ilvl w:val="0"/>
                <w:numId w:val="24"/>
              </w:numPr>
              <w:ind w:left="-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A5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F046A5">
              <w:rPr>
                <w:rFonts w:ascii="Times New Roman" w:hAnsi="Times New Roman"/>
                <w:sz w:val="24"/>
                <w:szCs w:val="24"/>
              </w:rPr>
              <w:t>ЛесЕГАИС</w:t>
            </w:r>
            <w:proofErr w:type="spellEnd"/>
            <w:r w:rsidRPr="00F046A5">
              <w:rPr>
                <w:rFonts w:ascii="Times New Roman" w:hAnsi="Times New Roman"/>
                <w:sz w:val="24"/>
                <w:szCs w:val="24"/>
              </w:rPr>
              <w:t xml:space="preserve"> работает не эффективно, многие прои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з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 xml:space="preserve">водители и потребители </w:t>
            </w:r>
            <w:proofErr w:type="spellStart"/>
            <w:r w:rsidRPr="00F046A5">
              <w:rPr>
                <w:rFonts w:ascii="Times New Roman" w:hAnsi="Times New Roman"/>
                <w:sz w:val="24"/>
                <w:szCs w:val="24"/>
              </w:rPr>
              <w:t>лесопродукции</w:t>
            </w:r>
            <w:proofErr w:type="spellEnd"/>
            <w:r w:rsidRPr="00F046A5">
              <w:rPr>
                <w:rFonts w:ascii="Times New Roman" w:hAnsi="Times New Roman"/>
                <w:sz w:val="24"/>
                <w:szCs w:val="24"/>
              </w:rPr>
              <w:t xml:space="preserve"> даже не знают о ее существовании. Необходимо наладить работу этой системы, нал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а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 xml:space="preserve">дить </w:t>
            </w:r>
            <w:proofErr w:type="gramStart"/>
            <w:r w:rsidRPr="00F046A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46A5">
              <w:rPr>
                <w:rFonts w:ascii="Times New Roman" w:hAnsi="Times New Roman"/>
                <w:sz w:val="24"/>
                <w:szCs w:val="24"/>
              </w:rPr>
              <w:t xml:space="preserve"> ее применением и проблема в значительной ст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е</w:t>
            </w:r>
            <w:r w:rsidRPr="00F046A5">
              <w:rPr>
                <w:rFonts w:ascii="Times New Roman" w:hAnsi="Times New Roman"/>
                <w:sz w:val="24"/>
                <w:szCs w:val="24"/>
              </w:rPr>
              <w:t>пени  разрешится.</w:t>
            </w:r>
          </w:p>
          <w:p w:rsidR="00F046A5" w:rsidRPr="00F046A5" w:rsidRDefault="00F046A5" w:rsidP="00F046A5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  <w:tab w:val="left" w:pos="2118"/>
                <w:tab w:val="left" w:pos="2535"/>
                <w:tab w:val="left" w:pos="3493"/>
                <w:tab w:val="left" w:pos="6702"/>
              </w:tabs>
              <w:spacing w:after="0"/>
              <w:ind w:left="-7" w:firstLine="567"/>
              <w:rPr>
                <w:sz w:val="24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 В пункте 2 статьи 1 проекта Закона раскрыть пон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тия:</w:t>
            </w:r>
          </w:p>
          <w:p w:rsidR="00F046A5" w:rsidRPr="00F046A5" w:rsidRDefault="00F046A5" w:rsidP="00F046A5">
            <w:pPr>
              <w:pStyle w:val="20"/>
              <w:shd w:val="clear" w:color="auto" w:fill="auto"/>
              <w:spacing w:after="0"/>
              <w:ind w:left="-7" w:firstLine="567"/>
              <w:rPr>
                <w:sz w:val="24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«капитальный забор», «прилегающей территории», уточнить понятие «автотранспорт» (для целей настоящего Закона имеет смысл фиксации грузового автотранспорта с грузом круглого леса или пиломатериала, нет смысла фиксировать другой транспорт, особенно легковой), слово «круглосуточный» убрать - не все раб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тают круглос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точно.</w:t>
            </w:r>
          </w:p>
          <w:p w:rsidR="00F046A5" w:rsidRPr="00F046A5" w:rsidRDefault="00CF5A13" w:rsidP="00F046A5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  <w:tab w:val="left" w:pos="2118"/>
                <w:tab w:val="left" w:pos="2535"/>
                <w:tab w:val="left" w:pos="6702"/>
                <w:tab w:val="left" w:pos="7294"/>
              </w:tabs>
              <w:spacing w:after="0"/>
              <w:ind w:left="-7"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Статья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пункт 2 часть 2' пункт 3:</w:t>
            </w:r>
            <w:r w:rsidR="00F046A5" w:rsidRPr="00F046A5">
              <w:rPr>
                <w:color w:val="000000"/>
                <w:sz w:val="24"/>
                <w:szCs w:val="24"/>
                <w:lang w:eastAsia="ru-RU" w:bidi="ru-RU"/>
              </w:rPr>
              <w:t>убрать слово</w:t>
            </w:r>
          </w:p>
          <w:p w:rsidR="00F046A5" w:rsidRPr="00F046A5" w:rsidRDefault="00F046A5" w:rsidP="00F046A5">
            <w:pPr>
              <w:pStyle w:val="20"/>
              <w:shd w:val="clear" w:color="auto" w:fill="auto"/>
              <w:spacing w:after="0"/>
              <w:ind w:left="-7" w:firstLine="567"/>
              <w:rPr>
                <w:sz w:val="24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«круглосуточного» (не все работают круглосуточно), ра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крыть понятие «транспортных средств» (нет смысла </w:t>
            </w:r>
            <w:proofErr w:type="spellStart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видеофикс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ции</w:t>
            </w:r>
            <w:proofErr w:type="spellEnd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 мотоциклов, бульдозеров и других тран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портных средств, на которых невозможна перевозка круглого леса и пиломатериалов), убрать предложение «Также видеонаблюдение должно обеспеч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вать панорамный вид территории пункта приема» (у некоторых предприятий огромная территория и выполнение данного требов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ния очень </w:t>
            </w:r>
            <w:proofErr w:type="spellStart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затр</w:t>
            </w:r>
            <w:bookmarkStart w:id="0" w:name="_GoBack"/>
            <w:bookmarkEnd w:id="0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атно</w:t>
            </w:r>
            <w:proofErr w:type="spellEnd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).</w:t>
            </w:r>
          </w:p>
          <w:p w:rsidR="00F046A5" w:rsidRPr="00F046A5" w:rsidRDefault="00F046A5" w:rsidP="00F046A5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</w:tabs>
              <w:spacing w:after="0"/>
              <w:ind w:left="-7" w:firstLine="567"/>
              <w:rPr>
                <w:sz w:val="24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Статья 1 пункт 2 часть</w:t>
            </w:r>
            <w:proofErr w:type="gramStart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46A5">
              <w:rPr>
                <w:rStyle w:val="21"/>
                <w:sz w:val="24"/>
                <w:szCs w:val="24"/>
              </w:rPr>
              <w:t>Т</w:t>
            </w:r>
            <w:proofErr w:type="gramEnd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 пункт 4: три сутки на устран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ние неисправностей системы видеонаблюдения и ее ремонт в уд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ленных от г. Чита местах недостаточно, необходимо конкретизир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вать понятие «транспортного средства» (гр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зового автотранспорта с грузом круглого леса или пилом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териала).</w:t>
            </w:r>
          </w:p>
          <w:p w:rsidR="00F046A5" w:rsidRPr="00F046A5" w:rsidRDefault="00F046A5" w:rsidP="00F046A5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  <w:tab w:val="left" w:pos="5912"/>
              </w:tabs>
              <w:spacing w:after="0"/>
              <w:ind w:left="-7" w:firstLine="567"/>
              <w:rPr>
                <w:sz w:val="24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Ста</w:t>
            </w:r>
            <w:r w:rsidR="00CF5A13">
              <w:rPr>
                <w:color w:val="000000"/>
                <w:sz w:val="24"/>
                <w:szCs w:val="24"/>
                <w:lang w:eastAsia="ru-RU" w:bidi="ru-RU"/>
              </w:rPr>
              <w:t xml:space="preserve">тья 1 пункт 2 часть 2' пункт 5: 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храниться должны к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пии</w:t>
            </w:r>
            <w:r w:rsidR="00CF5A13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F046A5" w:rsidRPr="00F046A5" w:rsidRDefault="00F046A5" w:rsidP="00F046A5">
            <w:pPr>
              <w:pStyle w:val="20"/>
              <w:shd w:val="clear" w:color="auto" w:fill="auto"/>
              <w:spacing w:after="0"/>
              <w:ind w:left="-7" w:firstLine="567"/>
              <w:rPr>
                <w:sz w:val="24"/>
                <w:szCs w:val="24"/>
              </w:rPr>
            </w:pPr>
            <w:proofErr w:type="gramStart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документов, подтверждающих право собственности на и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пользуемые технику и оборудование.</w:t>
            </w:r>
            <w:proofErr w:type="gramEnd"/>
          </w:p>
          <w:p w:rsidR="00F046A5" w:rsidRPr="00F046A5" w:rsidRDefault="00F046A5" w:rsidP="00F046A5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</w:tabs>
              <w:spacing w:after="0"/>
              <w:ind w:left="-7" w:firstLine="567"/>
              <w:rPr>
                <w:sz w:val="24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Статья 1 пункт 3 статья З</w:t>
            </w:r>
            <w:proofErr w:type="gramStart"/>
            <w:r w:rsidRPr="00F046A5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 xml:space="preserve"> пункт 2: в случае не подтве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ждения законности происхождения древесины или пиломатер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алов с территории другого субъекта не определена отве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ственность лиц, переместивших такую продукцию в Заба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й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кальский край.</w:t>
            </w:r>
          </w:p>
          <w:p w:rsidR="00CF5A13" w:rsidRPr="00CF5A13" w:rsidRDefault="00F046A5" w:rsidP="00CF5A13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</w:tabs>
              <w:spacing w:after="0"/>
              <w:ind w:left="-7" w:firstLine="567"/>
              <w:rPr>
                <w:sz w:val="22"/>
                <w:szCs w:val="24"/>
              </w:rPr>
            </w:pP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Статья 2 часть 10: Сегодня местное население заключает договора купли-продажи в лесничестве и в большинстве случаев самостоятельно заготавливает древесину, с принятием части 10 местное население пойдет заключать догов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ра подряда в КГСАУ «</w:t>
            </w:r>
            <w:proofErr w:type="spellStart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Забайкаллесхоз</w:t>
            </w:r>
            <w:proofErr w:type="spellEnd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» и в большинстве случаев будет 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мостоятельно заготавливать древесину. При ежегодной потребности местного населения в деловой и дровяной древесине по отдельным районам в несколько д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сятков тысяч кубометров КГСАУ «</w:t>
            </w:r>
            <w:proofErr w:type="spellStart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Забайкаллесхоз</w:t>
            </w:r>
            <w:proofErr w:type="spellEnd"/>
            <w:r w:rsidRPr="00F046A5">
              <w:rPr>
                <w:color w:val="000000"/>
                <w:sz w:val="24"/>
                <w:szCs w:val="24"/>
                <w:lang w:eastAsia="ru-RU" w:bidi="ru-RU"/>
              </w:rPr>
              <w:t>» не в с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стоянии заготовить такие объемы своими силами и за свой счет по причине отсутствия техники, людских и финансовых р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F046A5">
              <w:rPr>
                <w:color w:val="000000"/>
                <w:sz w:val="24"/>
                <w:szCs w:val="24"/>
                <w:lang w:eastAsia="ru-RU" w:bidi="ru-RU"/>
              </w:rPr>
              <w:t>сурсов.</w:t>
            </w:r>
            <w:r w:rsidR="00CF5A1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>Учитывая высокую коррупционную составля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>ю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 xml:space="preserve">щую этого направления целесообразно выставлять весь объем </w:t>
            </w:r>
            <w:proofErr w:type="gramStart"/>
            <w:r w:rsidR="00CF5A13" w:rsidRPr="00CF5A13">
              <w:rPr>
                <w:color w:val="000000"/>
                <w:sz w:val="24"/>
                <w:lang w:eastAsia="ru-RU" w:bidi="ru-RU"/>
              </w:rPr>
              <w:t>заготовки</w:t>
            </w:r>
            <w:proofErr w:type="gramEnd"/>
            <w:r w:rsidR="00CF5A13" w:rsidRPr="00CF5A13">
              <w:rPr>
                <w:color w:val="000000"/>
                <w:sz w:val="24"/>
                <w:lang w:eastAsia="ru-RU" w:bidi="ru-RU"/>
              </w:rPr>
              <w:t xml:space="preserve"> п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>о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>врежденной пожаром древесины на аукцион, в том числе пусть участвует и КГСАУ «</w:t>
            </w:r>
            <w:proofErr w:type="spellStart"/>
            <w:r w:rsidR="00CF5A13" w:rsidRPr="00CF5A13">
              <w:rPr>
                <w:color w:val="000000"/>
                <w:sz w:val="24"/>
                <w:lang w:eastAsia="ru-RU" w:bidi="ru-RU"/>
              </w:rPr>
              <w:t>Заба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>й</w:t>
            </w:r>
            <w:r w:rsidR="00CF5A13" w:rsidRPr="00CF5A13">
              <w:rPr>
                <w:color w:val="000000"/>
                <w:sz w:val="24"/>
                <w:lang w:eastAsia="ru-RU" w:bidi="ru-RU"/>
              </w:rPr>
              <w:t>каллесхоз</w:t>
            </w:r>
            <w:proofErr w:type="spellEnd"/>
            <w:r w:rsidR="00CF5A13" w:rsidRPr="00CF5A13">
              <w:rPr>
                <w:color w:val="000000"/>
                <w:sz w:val="24"/>
                <w:lang w:eastAsia="ru-RU" w:bidi="ru-RU"/>
              </w:rPr>
              <w:t>».</w:t>
            </w:r>
          </w:p>
          <w:p w:rsidR="0079155E" w:rsidRPr="00CF5A13" w:rsidRDefault="00CF5A13" w:rsidP="00CF5A13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057"/>
              </w:tabs>
              <w:spacing w:after="0"/>
              <w:ind w:left="-7" w:firstLine="567"/>
              <w:rPr>
                <w:sz w:val="22"/>
                <w:szCs w:val="24"/>
              </w:rPr>
            </w:pPr>
            <w:r w:rsidRPr="00CF5A13">
              <w:rPr>
                <w:color w:val="000000"/>
                <w:sz w:val="24"/>
                <w:lang w:eastAsia="ru-RU" w:bidi="ru-RU"/>
              </w:rPr>
              <w:t xml:space="preserve">Статья 3: Вводить в действие </w:t>
            </w:r>
            <w:r w:rsidRPr="00CF5A13">
              <w:rPr>
                <w:color w:val="000000"/>
                <w:sz w:val="24"/>
                <w:lang w:eastAsia="ru-RU" w:bidi="ru-RU"/>
              </w:rPr>
              <w:t>предлагаемый</w:t>
            </w:r>
            <w:r w:rsidRPr="00CF5A13">
              <w:rPr>
                <w:color w:val="000000"/>
                <w:sz w:val="24"/>
                <w:lang w:eastAsia="ru-RU" w:bidi="ru-RU"/>
              </w:rPr>
              <w:t xml:space="preserve"> </w:t>
            </w:r>
            <w:r w:rsidRPr="00CF5A13">
              <w:rPr>
                <w:color w:val="000000"/>
                <w:sz w:val="24"/>
                <w:lang w:eastAsia="ru-RU" w:bidi="ru-RU"/>
              </w:rPr>
              <w:t xml:space="preserve">проект </w:t>
            </w:r>
            <w:r w:rsidRPr="00CF5A13">
              <w:rPr>
                <w:color w:val="000000"/>
                <w:sz w:val="24"/>
                <w:lang w:eastAsia="ru-RU" w:bidi="ru-RU"/>
              </w:rPr>
              <w:t>З</w:t>
            </w:r>
            <w:r w:rsidRPr="00CF5A13">
              <w:rPr>
                <w:color w:val="000000"/>
                <w:sz w:val="24"/>
                <w:lang w:eastAsia="ru-RU" w:bidi="ru-RU"/>
              </w:rPr>
              <w:t>а</w:t>
            </w:r>
            <w:r w:rsidRPr="00CF5A13">
              <w:rPr>
                <w:color w:val="000000"/>
                <w:sz w:val="24"/>
                <w:lang w:eastAsia="ru-RU" w:bidi="ru-RU"/>
              </w:rPr>
              <w:t>кон</w:t>
            </w:r>
            <w:r w:rsidRPr="00CF5A13">
              <w:rPr>
                <w:color w:val="000000"/>
                <w:sz w:val="24"/>
                <w:lang w:eastAsia="ru-RU" w:bidi="ru-RU"/>
              </w:rPr>
              <w:t>а</w:t>
            </w:r>
            <w:r w:rsidRPr="00CF5A13">
              <w:rPr>
                <w:color w:val="000000"/>
                <w:sz w:val="24"/>
                <w:lang w:eastAsia="ru-RU" w:bidi="ru-RU"/>
              </w:rPr>
              <w:t xml:space="preserve"> необходимо через 4-6 месяцев после опубл</w:t>
            </w:r>
            <w:r w:rsidRPr="00CF5A13">
              <w:rPr>
                <w:color w:val="000000"/>
                <w:sz w:val="24"/>
                <w:lang w:eastAsia="ru-RU" w:bidi="ru-RU"/>
              </w:rPr>
              <w:t>и</w:t>
            </w:r>
            <w:r w:rsidRPr="00CF5A13">
              <w:rPr>
                <w:color w:val="000000"/>
                <w:sz w:val="24"/>
                <w:lang w:eastAsia="ru-RU" w:bidi="ru-RU"/>
              </w:rPr>
              <w:t>кования.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«РЭЦ»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5C04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C34A14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Харагунлес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04" w:rsidRPr="00EB77BF" w:rsidRDefault="00875C04" w:rsidP="0087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CF5A13" w:rsidRPr="00EB77BF" w:rsidTr="00875C04">
        <w:trPr>
          <w:trHeight w:val="4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13" w:rsidRPr="00EB77BF" w:rsidRDefault="00CF5A13" w:rsidP="004A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13" w:rsidRPr="00EB77BF" w:rsidRDefault="00CF5A13" w:rsidP="000F3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13" w:rsidRPr="00EB77BF" w:rsidRDefault="00CF5A13" w:rsidP="00E5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BF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88035D" w:rsidRPr="00DF60C3" w:rsidRDefault="0088035D" w:rsidP="00CF5A13">
      <w:pPr>
        <w:pStyle w:val="ConsPlusNormal"/>
        <w:ind w:firstLine="0"/>
        <w:rPr>
          <w:rFonts w:ascii="Times New Roman" w:hAnsi="Times New Roman" w:cs="Times New Roman"/>
        </w:rPr>
      </w:pPr>
    </w:p>
    <w:sectPr w:rsidR="0088035D" w:rsidRPr="00DF60C3" w:rsidSect="0088035D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4"/>
  </w:num>
  <w:num w:numId="8">
    <w:abstractNumId w:val="16"/>
  </w:num>
  <w:num w:numId="9">
    <w:abstractNumId w:val="20"/>
  </w:num>
  <w:num w:numId="10">
    <w:abstractNumId w:val="11"/>
  </w:num>
  <w:num w:numId="11">
    <w:abstractNumId w:val="15"/>
  </w:num>
  <w:num w:numId="12">
    <w:abstractNumId w:val="22"/>
  </w:num>
  <w:num w:numId="13">
    <w:abstractNumId w:val="17"/>
  </w:num>
  <w:num w:numId="14">
    <w:abstractNumId w:val="14"/>
  </w:num>
  <w:num w:numId="15">
    <w:abstractNumId w:val="6"/>
  </w:num>
  <w:num w:numId="16">
    <w:abstractNumId w:val="1"/>
  </w:num>
  <w:num w:numId="17">
    <w:abstractNumId w:val="2"/>
  </w:num>
  <w:num w:numId="18">
    <w:abstractNumId w:val="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3"/>
  </w:num>
  <w:num w:numId="23">
    <w:abstractNumId w:val="0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C2172"/>
    <w:rsid w:val="000F3FF3"/>
    <w:rsid w:val="000F4545"/>
    <w:rsid w:val="00103551"/>
    <w:rsid w:val="00112AC1"/>
    <w:rsid w:val="00163688"/>
    <w:rsid w:val="00170782"/>
    <w:rsid w:val="001721EB"/>
    <w:rsid w:val="001A527F"/>
    <w:rsid w:val="001C04F4"/>
    <w:rsid w:val="001D1827"/>
    <w:rsid w:val="002201AF"/>
    <w:rsid w:val="002335ED"/>
    <w:rsid w:val="002C04A4"/>
    <w:rsid w:val="00312B1C"/>
    <w:rsid w:val="00363E4C"/>
    <w:rsid w:val="003E257B"/>
    <w:rsid w:val="004A5462"/>
    <w:rsid w:val="00507EA9"/>
    <w:rsid w:val="00535D93"/>
    <w:rsid w:val="005A5C51"/>
    <w:rsid w:val="005C31B7"/>
    <w:rsid w:val="005C6D33"/>
    <w:rsid w:val="005D7C8A"/>
    <w:rsid w:val="00602EF1"/>
    <w:rsid w:val="006061BA"/>
    <w:rsid w:val="006111D4"/>
    <w:rsid w:val="00667FC7"/>
    <w:rsid w:val="00697E5A"/>
    <w:rsid w:val="006A2A0F"/>
    <w:rsid w:val="006A362E"/>
    <w:rsid w:val="006B0510"/>
    <w:rsid w:val="006F646F"/>
    <w:rsid w:val="007134EB"/>
    <w:rsid w:val="00714C1C"/>
    <w:rsid w:val="00732A14"/>
    <w:rsid w:val="0075668A"/>
    <w:rsid w:val="00781384"/>
    <w:rsid w:val="0079155E"/>
    <w:rsid w:val="00795D90"/>
    <w:rsid w:val="007A7264"/>
    <w:rsid w:val="007C3B7E"/>
    <w:rsid w:val="007E496B"/>
    <w:rsid w:val="007F4B90"/>
    <w:rsid w:val="00827307"/>
    <w:rsid w:val="008276C7"/>
    <w:rsid w:val="00830579"/>
    <w:rsid w:val="00835221"/>
    <w:rsid w:val="00870DF2"/>
    <w:rsid w:val="00875C04"/>
    <w:rsid w:val="0088035D"/>
    <w:rsid w:val="00883498"/>
    <w:rsid w:val="00935FAC"/>
    <w:rsid w:val="009B4359"/>
    <w:rsid w:val="009C2EF5"/>
    <w:rsid w:val="009F0227"/>
    <w:rsid w:val="00A6552B"/>
    <w:rsid w:val="00A938A8"/>
    <w:rsid w:val="00A96785"/>
    <w:rsid w:val="00AF7EC6"/>
    <w:rsid w:val="00BC316B"/>
    <w:rsid w:val="00BC39B5"/>
    <w:rsid w:val="00BD2E86"/>
    <w:rsid w:val="00BF3119"/>
    <w:rsid w:val="00BF51D6"/>
    <w:rsid w:val="00C34A14"/>
    <w:rsid w:val="00C36E0D"/>
    <w:rsid w:val="00CC27A9"/>
    <w:rsid w:val="00CD0D8E"/>
    <w:rsid w:val="00CE2254"/>
    <w:rsid w:val="00CF5A13"/>
    <w:rsid w:val="00D5780B"/>
    <w:rsid w:val="00D928DF"/>
    <w:rsid w:val="00DB0C5D"/>
    <w:rsid w:val="00DD1926"/>
    <w:rsid w:val="00DD3EFA"/>
    <w:rsid w:val="00DD6E11"/>
    <w:rsid w:val="00DF60C3"/>
    <w:rsid w:val="00E30312"/>
    <w:rsid w:val="00E4222A"/>
    <w:rsid w:val="00E43947"/>
    <w:rsid w:val="00E458A2"/>
    <w:rsid w:val="00E9465E"/>
    <w:rsid w:val="00EB77BF"/>
    <w:rsid w:val="00ED4C71"/>
    <w:rsid w:val="00F046A5"/>
    <w:rsid w:val="00F102AF"/>
    <w:rsid w:val="00F7470D"/>
    <w:rsid w:val="00F91C6A"/>
    <w:rsid w:val="00F9487C"/>
    <w:rsid w:val="00F97CB1"/>
    <w:rsid w:val="00FE10ED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95B0-FC1C-4068-BA32-F78E29C3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Артём Днепровский</cp:lastModifiedBy>
  <cp:revision>5</cp:revision>
  <cp:lastPrinted>2018-04-06T05:39:00Z</cp:lastPrinted>
  <dcterms:created xsi:type="dcterms:W3CDTF">2019-07-12T09:30:00Z</dcterms:created>
  <dcterms:modified xsi:type="dcterms:W3CDTF">2019-08-20T15:21:00Z</dcterms:modified>
</cp:coreProperties>
</file>